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0" w:line="240" w:lineRule="auto"/>
      </w:pPr>
      <w:r>
        <w:rPr>
          <w:rFonts w:ascii="Arial" w:hAnsi="Arial" w:eastAsia="Arial"/>
          <w:b/>
          <w:color w:val="16324F"/>
          <w:sz w:val="45"/>
        </w:rPr>
        <w:t>MARIA K. TERMENTZOGLOU</w:t>
      </w:r>
    </w:p>
    <w:p>
      <w:pPr>
        <w:spacing w:before="0" w:after="70" w:line="240" w:lineRule="auto"/>
      </w:pPr>
      <w:r>
        <w:rPr>
          <w:rFonts w:ascii="Arial" w:hAnsi="Arial" w:eastAsia="Arial"/>
          <w:b/>
          <w:color w:val="2E6F95"/>
          <w:sz w:val="19"/>
        </w:rPr>
        <w:t>B2B &amp; TECHNICAL CONTENT WRITER  |  LONG-FORM CONTENT  |  RESEARCH-LED COMMUNICATIONS</w:t>
      </w:r>
    </w:p>
    <w:p>
      <w:pPr>
        <w:spacing w:before="0" w:after="120" w:line="240" w:lineRule="auto"/>
      </w:pPr>
      <w:r>
        <w:rPr>
          <w:rFonts w:ascii="Arial" w:hAnsi="Arial" w:eastAsia="Arial"/>
          <w:color w:val="5C6770"/>
          <w:sz w:val="17"/>
        </w:rPr>
        <w:t xml:space="preserve">Edessa, Greece  |  +30 698 912 5672  |  </w:t>
      </w:r>
      <w:hyperlink r:id="rId13">
        <w:r>
          <w:rPr>
            <w:rFonts w:ascii="Arial" w:hAnsi="Arial"/>
            <w:color w:val="2E6F95"/>
            <w:sz w:val="17"/>
            <w:szCs w:val="17"/>
            <w:u w:val="none"/>
          </w:rPr>
          <w:t>mariatermentzoglou@gmail.com</w:t>
        </w:r>
      </w:hyperlink>
      <w:r>
        <w:rPr>
          <w:rFonts w:ascii="Arial" w:hAnsi="Arial" w:eastAsia="Arial"/>
          <w:color w:val="5C6770"/>
          <w:sz w:val="17"/>
        </w:rPr>
        <w:t xml:space="preserve">  |  </w:t>
      </w:r>
      <w:hyperlink r:id="rId14">
        <w:r>
          <w:rPr>
            <w:rFonts w:ascii="Arial" w:hAnsi="Arial"/>
            <w:color w:val="2E6F95"/>
            <w:sz w:val="17"/>
            <w:szCs w:val="17"/>
            <w:u w:val="none"/>
          </w:rPr>
          <w:t>linkedin.com/in/maria-k-termentzoglou</w:t>
        </w:r>
      </w:hyperlink>
    </w:p>
    <w:p>
      <w:pPr>
        <w:pStyle w:val="ResumeSection"/>
        <w:keepNext/>
        <w:widowControl w:val="1"/>
        <w:pBdr>
          <w:bottom w:val="single" w:sz="4" w:space="2" w:color="D9E2EC"/>
        </w:pBdr>
      </w:pPr>
      <w:r>
        <w:rPr>
          <w:rFonts w:ascii="Arial" w:hAnsi="Arial" w:eastAsia="Arial"/>
          <w:b/>
          <w:color w:val="16324F"/>
          <w:sz w:val="21"/>
        </w:rPr>
        <w:t>PROFESSIONAL PROFILE</w:t>
      </w:r>
    </w:p>
    <w:p>
      <w:pPr>
        <w:spacing w:after="80" w:line="254" w:lineRule="auto"/>
        <w:widowControl w:val="1"/>
      </w:pPr>
      <w:r>
        <w:rPr>
          <w:rFonts w:ascii="Arial" w:hAnsi="Arial" w:eastAsia="Arial"/>
          <w:color w:val="1F2933"/>
          <w:sz w:val="18"/>
        </w:rPr>
        <w:t>Research-led content writer, published author and academic consultant with 7+ years of experience developing long-form, audience-specific content for professional and specialist readers. Creates clear, accurate e-books, guides, articles, research publications and digital assets across education, recruitment, digital marketing, technology, taxation, hospitality and sustainability. Combines C2 English, rigorous source research and a proven ability to translate complex terminology into structured, engaging content while managing remote workflows, multiple deadlines and stakeholder feedback.</w:t>
      </w:r>
    </w:p>
    <w:p>
      <w:pPr>
        <w:pStyle w:val="ResumeSection"/>
        <w:keepNext/>
        <w:widowControl w:val="1"/>
        <w:pBdr>
          <w:bottom w:val="single" w:sz="4" w:space="2" w:color="D9E2EC"/>
        </w:pBdr>
      </w:pPr>
      <w:r>
        <w:rPr>
          <w:rFonts w:ascii="Arial" w:hAnsi="Arial" w:eastAsia="Arial"/>
          <w:b/>
          <w:color w:val="16324F"/>
          <w:sz w:val="21"/>
        </w:rPr>
        <w:t>CORE EXPERTISE</w:t>
      </w:r>
    </w:p>
    <w:p>
      <w:pPr>
        <w:spacing w:after="60" w:line="254" w:lineRule="auto"/>
      </w:pPr>
      <w:r>
        <w:rPr>
          <w:rFonts w:ascii="Arial" w:hAnsi="Arial" w:eastAsia="Arial"/>
          <w:b/>
          <w:color w:val="1F2933"/>
          <w:sz w:val="18"/>
        </w:rPr>
        <w:t>Long-form B2B content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/>
          <w:color w:val="1F2933"/>
          <w:sz w:val="18"/>
        </w:rPr>
        <w:t>Technical and research writing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/>
          <w:color w:val="1F2933"/>
          <w:sz w:val="18"/>
        </w:rPr>
        <w:t>E-books, guides and articles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 w:val="0"/>
          <w:color w:val="1F2933"/>
          <w:sz w:val="18"/>
        </w:rPr>
        <w:t>Audience and tone adaptation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 w:val="0"/>
          <w:color w:val="1F2933"/>
          <w:sz w:val="18"/>
        </w:rPr>
        <w:t>Complex-topic simplification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 w:val="0"/>
          <w:color w:val="1F2933"/>
          <w:sz w:val="18"/>
        </w:rPr>
        <w:t>Source verification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 w:val="0"/>
          <w:color w:val="1F2933"/>
          <w:sz w:val="18"/>
        </w:rPr>
        <w:t>Content editing and quality assurance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 w:val="0"/>
          <w:color w:val="1F2933"/>
          <w:sz w:val="18"/>
        </w:rPr>
        <w:t>Stakeholder collaboration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 w:val="0"/>
          <w:color w:val="1F2933"/>
          <w:sz w:val="18"/>
        </w:rPr>
        <w:t>Remote delivery</w:t>
      </w:r>
      <w:r>
        <w:rPr>
          <w:rFonts w:ascii="Arial" w:hAnsi="Arial" w:eastAsia="Arial"/>
          <w:color w:val="2E6F95"/>
          <w:sz w:val="18"/>
        </w:rPr>
        <w:t xml:space="preserve">  |  </w:t>
      </w:r>
      <w:r>
        <w:rPr>
          <w:rFonts w:ascii="Arial" w:hAnsi="Arial" w:eastAsia="Arial"/>
          <w:b w:val="0"/>
          <w:color w:val="1F2933"/>
          <w:sz w:val="18"/>
        </w:rPr>
        <w:t>AI-enabled digital content</w:t>
      </w:r>
    </w:p>
    <w:p>
      <w:pPr>
        <w:pStyle w:val="ResumeSection"/>
        <w:keepNext/>
        <w:widowControl w:val="1"/>
        <w:pBdr>
          <w:bottom w:val="single" w:sz="4" w:space="2" w:color="D9E2EC"/>
        </w:pBdr>
      </w:pPr>
      <w:r>
        <w:rPr>
          <w:rFonts w:ascii="Arial" w:hAnsi="Arial" w:eastAsia="Arial"/>
          <w:b/>
          <w:color w:val="16324F"/>
          <w:sz w:val="21"/>
        </w:rPr>
        <w:t>RELEVANT CONTENT &amp; CLIENT EXPERIENCE</w:t>
      </w:r>
    </w:p>
    <w:p>
      <w:pPr>
        <w:pStyle w:val="ResumeJob"/>
        <w:keepNext/>
        <w:widowControl w:val="1"/>
      </w:pPr>
      <w:r>
        <w:rPr>
          <w:rFonts w:ascii="Arial" w:hAnsi="Arial" w:eastAsia="Arial"/>
          <w:b/>
          <w:color w:val="1F2933"/>
          <w:sz w:val="19"/>
        </w:rPr>
        <w:t>Educational Content Creator &amp; Author</w:t>
      </w:r>
      <w:r>
        <w:rPr>
          <w:rFonts w:ascii="Arial" w:hAnsi="Arial" w:eastAsia="Arial"/>
          <w:b/>
          <w:color w:val="2E6F95"/>
          <w:sz w:val="19"/>
        </w:rPr>
        <w:t xml:space="preserve"> | Independent / Xenoglotia</w:t>
      </w:r>
      <w:r>
        <w:rPr>
          <w:rFonts w:ascii="Arial" w:hAnsi="Arial" w:eastAsia="Arial"/>
          <w:b/>
          <w:color w:val="5C6770"/>
          <w:sz w:val="17"/>
        </w:rPr>
        <w:br/>
        <w:t>Aug 2018 - May 2025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Produced a nearly seven-year portfolio of long-form and digital content for adult professionals, instructors and specialist learners across hospitality, EU taxation, digital marketing, recruitment, border-management selection and language education.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Authored two professional books and multiple sector-specific e-books, transforming complex subject matter into logical, accessible guides with clear reader journeys and practical applications.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Managed end-to-end content development: topic research, source evaluation, outlining, drafting, editing, accuracy checks, formatting and multi-format adaptation.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Expanded written content into videos, quizzes and interactive study notes, maintaining consistent terminology, voice and learning objectives across formats.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Adapted tone, structure and depth to distinct audience needs while delivering independently to deadline in a fully remote environment.</w:t>
      </w:r>
    </w:p>
    <w:p>
      <w:pPr>
        <w:pStyle w:val="ResumeJob"/>
        <w:keepNext/>
        <w:widowControl w:val="1"/>
      </w:pPr>
      <w:r>
        <w:rPr>
          <w:rFonts w:ascii="Arial" w:hAnsi="Arial" w:eastAsia="Arial"/>
          <w:b/>
          <w:color w:val="1F2933"/>
          <w:sz w:val="19"/>
        </w:rPr>
        <w:t>Founder &amp; Lead Instructor</w:t>
      </w:r>
      <w:r>
        <w:rPr>
          <w:rFonts w:ascii="Arial" w:hAnsi="Arial" w:eastAsia="Arial"/>
          <w:b/>
          <w:color w:val="2E6F95"/>
          <w:sz w:val="19"/>
        </w:rPr>
        <w:t xml:space="preserve"> | Termentzoglou Online English School</w:t>
      </w:r>
      <w:r>
        <w:rPr>
          <w:rFonts w:ascii="Arial" w:hAnsi="Arial" w:eastAsia="Arial"/>
          <w:b/>
          <w:color w:val="5C6770"/>
          <w:sz w:val="17"/>
        </w:rPr>
        <w:br/>
        <w:t>Sep 2017 - Jan 2026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Built and operated an online education business serving adult and professional learners through English for Specific Purposes, high-stakes exam preparation and customized coaching.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Developed research-informed content and learning pathways aligned with individual career, sector and certification goals.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Translated specialist terminology into concise, reader-friendly explanations, examples, dialogues and practical resources.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Managed concurrent client requirements, content revisions, schedules and quality control across one-to-one and small-group engagements.</w:t>
      </w:r>
    </w:p>
    <w:p>
      <w:pPr>
        <w:pStyle w:val="ResumeJob"/>
        <w:keepNext/>
        <w:widowControl w:val="1"/>
      </w:pPr>
      <w:r>
        <w:rPr>
          <w:rFonts w:ascii="Arial" w:hAnsi="Arial" w:eastAsia="Arial"/>
          <w:b/>
          <w:color w:val="1F2933"/>
          <w:sz w:val="19"/>
        </w:rPr>
        <w:t>Head of Education / Academic Consultant</w:t>
      </w:r>
      <w:r>
        <w:rPr>
          <w:rFonts w:ascii="Arial" w:hAnsi="Arial" w:eastAsia="Arial"/>
          <w:b/>
          <w:color w:val="2E6F95"/>
          <w:sz w:val="19"/>
        </w:rPr>
        <w:t xml:space="preserve"> | Xenoglotia.com</w:t>
      </w:r>
      <w:r>
        <w:rPr>
          <w:rFonts w:ascii="Arial" w:hAnsi="Arial" w:eastAsia="Arial"/>
          <w:b/>
          <w:color w:val="5C6770"/>
          <w:sz w:val="17"/>
        </w:rPr>
        <w:br/>
        <w:t>Sep 2023 - May 2025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Led academic content quality, teacher development and guidance for an online multilingual learning platform.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Reviewed instructional materials and learner evaluations, synthesizing feedback into actionable curriculum and service improvements.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Set standards for clarity, consistency and audience alignment; supported educators in producing accurate, engaging digital content.</w:t>
      </w:r>
    </w:p>
    <w:p>
      <w:pPr>
        <w:pStyle w:val="ResumeJob"/>
        <w:keepNext/>
        <w:widowControl w:val="1"/>
      </w:pPr>
      <w:r>
        <w:rPr>
          <w:rFonts w:ascii="Arial" w:hAnsi="Arial" w:eastAsia="Arial"/>
          <w:b/>
          <w:color w:val="1F2933"/>
          <w:sz w:val="19"/>
        </w:rPr>
        <w:t>Director - Greece</w:t>
      </w:r>
      <w:r>
        <w:rPr>
          <w:rFonts w:ascii="Arial" w:hAnsi="Arial" w:eastAsia="Arial"/>
          <w:b/>
          <w:color w:val="2E6F95"/>
          <w:sz w:val="19"/>
        </w:rPr>
        <w:t xml:space="preserve"> | Expert Recruitments</w:t>
      </w:r>
      <w:r>
        <w:rPr>
          <w:rFonts w:ascii="Arial" w:hAnsi="Arial" w:eastAsia="Arial"/>
          <w:b/>
          <w:color w:val="5C6770"/>
          <w:sz w:val="17"/>
        </w:rPr>
        <w:br/>
        <w:t>Nov 2023 - Nov 2024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Supported business development and represented the Dubai-based recruitment agency across Greece and wider European markets.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Served as a strategic liaison between employers and candidates, clarifying role requirements, screening profiles and communicating candidate value.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Provided job counseling and targeted CV guidance, adapting professional messaging to varied roles, industries and stakeholder expectations.</w:t>
      </w:r>
    </w:p>
    <w:p>
      <w:pPr>
        <w:spacing w:after="0"/>
      </w:pPr>
      <w:r>
        <w:br w:type="page"/>
      </w:r>
    </w:p>
    <w:p>
      <w:pPr>
        <w:pStyle w:val="ResumeSection"/>
        <w:keepNext/>
        <w:widowControl w:val="1"/>
        <w:pBdr>
          <w:bottom w:val="single" w:sz="4" w:space="2" w:color="D9E2EC"/>
        </w:pBdr>
      </w:pPr>
      <w:r>
        <w:rPr>
          <w:rFonts w:ascii="Arial" w:hAnsi="Arial" w:eastAsia="Arial"/>
          <w:b/>
          <w:color w:val="16324F"/>
          <w:sz w:val="21"/>
        </w:rPr>
        <w:t>RESEARCH &amp; UNIVERSITY EXPERIENCE</w:t>
      </w:r>
    </w:p>
    <w:p>
      <w:pPr>
        <w:pStyle w:val="ResumeJob"/>
        <w:keepNext/>
        <w:widowControl w:val="1"/>
      </w:pPr>
      <w:r>
        <w:rPr>
          <w:rFonts w:ascii="Arial" w:hAnsi="Arial" w:eastAsia="Arial"/>
          <w:b/>
          <w:color w:val="1F2933"/>
          <w:sz w:val="19"/>
        </w:rPr>
        <w:t>Doctoral Researcher &amp; Teaching Contributor</w:t>
      </w:r>
      <w:r>
        <w:rPr>
          <w:rFonts w:ascii="Arial" w:hAnsi="Arial" w:eastAsia="Arial"/>
          <w:b/>
          <w:color w:val="2E6F95"/>
          <w:sz w:val="19"/>
        </w:rPr>
        <w:t xml:space="preserve"> | University of Thessaly</w:t>
      </w:r>
      <w:r>
        <w:rPr>
          <w:rFonts w:ascii="Arial" w:hAnsi="Arial" w:eastAsia="Arial"/>
          <w:b/>
          <w:color w:val="5C6770"/>
          <w:sz w:val="17"/>
        </w:rPr>
        <w:br/>
        <w:t>2024 - Present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Develops interdisciplinary research connecting environmental learning and knowledge transformation with organizational learning, dynamic capabilities, resilience and long-term adaptability.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Produces structured literature reviews, conceptual frameworks, survey instruments, conference papers and peer-reviewed manuscripts; translates complex theory and methodology into coherent narratives.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color w:val="1F2933"/>
          <w:sz w:val="18"/>
        </w:rPr>
        <w:t>Delivered lectures in Wood Marketing and Forest Organizations / Business Management during the 2025-2026 academic year.</w:t>
      </w:r>
    </w:p>
    <w:p>
      <w:pPr>
        <w:pStyle w:val="ResumeSection"/>
        <w:keepNext/>
        <w:widowControl w:val="1"/>
        <w:pBdr>
          <w:bottom w:val="single" w:sz="4" w:space="2" w:color="D9E2EC"/>
        </w:pBdr>
      </w:pPr>
      <w:r>
        <w:rPr>
          <w:rFonts w:ascii="Arial" w:hAnsi="Arial" w:eastAsia="Arial"/>
          <w:b/>
          <w:color w:val="16324F"/>
          <w:sz w:val="21"/>
        </w:rPr>
        <w:t>SELECTED AUTHORSHIP &amp; PUBLICATIONS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b/>
          <w:i/>
          <w:color w:val="1F2933"/>
          <w:sz w:val="18"/>
        </w:rPr>
        <w:t>Mastering the Frontex Knowledge Test</w:t>
      </w:r>
      <w:r>
        <w:rPr>
          <w:rFonts w:ascii="Arial" w:hAnsi="Arial" w:eastAsia="Arial"/>
          <w:b w:val="0"/>
          <w:i w:val="0"/>
          <w:color w:val="1F2933"/>
          <w:sz w:val="18"/>
        </w:rPr>
        <w:t>. Professional candidate guide. ISBN 979-889705114-4.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b/>
          <w:i/>
          <w:color w:val="1F2933"/>
          <w:sz w:val="18"/>
        </w:rPr>
        <w:t>Mastering the Frontex Interview: A Candidate's Guide</w:t>
      </w:r>
      <w:r>
        <w:rPr>
          <w:rFonts w:ascii="Arial" w:hAnsi="Arial" w:eastAsia="Arial"/>
          <w:b w:val="0"/>
          <w:i w:val="0"/>
          <w:color w:val="1F2933"/>
          <w:sz w:val="18"/>
        </w:rPr>
        <w:t>. Professional interview-preparation guide. ISBN 979-889704227-2.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b/>
          <w:i w:val="0"/>
          <w:color w:val="1F2933"/>
          <w:sz w:val="18"/>
        </w:rPr>
        <w:t>Sector-specific e-books</w:t>
      </w:r>
      <w:r>
        <w:rPr>
          <w:rFonts w:ascii="Arial" w:hAnsi="Arial" w:eastAsia="Arial"/>
          <w:b w:val="0"/>
          <w:i w:val="0"/>
          <w:color w:val="1F2933"/>
          <w:sz w:val="18"/>
        </w:rPr>
        <w:t>: English for Hospitality; English for European Taxation; Digital Marketing.</w:t>
      </w:r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b/>
          <w:i w:val="0"/>
          <w:color w:val="1F2933"/>
          <w:sz w:val="18"/>
        </w:rPr>
        <w:t>Banking-sector employee commitment, merit and fair pay</w:t>
      </w:r>
      <w:r>
        <w:rPr>
          <w:rFonts w:ascii="Arial" w:hAnsi="Arial" w:eastAsia="Arial"/>
          <w:b w:val="0"/>
          <w:i w:val="0"/>
          <w:color w:val="1F2933"/>
          <w:sz w:val="18"/>
        </w:rPr>
        <w:t xml:space="preserve">. Co-authored peer-reviewed chapter, Springer, 2025. </w:t>
      </w:r>
      <w:hyperlink r:id="rId15">
        <w:r>
          <w:rPr>
            <w:rFonts w:ascii="Arial" w:hAnsi="Arial"/>
            <w:color w:val="2E6F95"/>
            <w:sz w:val="18"/>
            <w:szCs w:val="18"/>
            <w:b/>
            <w:u w:val="none"/>
          </w:rPr>
          <w:t>DOI</w:t>
        </w:r>
      </w:hyperlink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b/>
          <w:i w:val="0"/>
          <w:color w:val="1F2933"/>
          <w:sz w:val="18"/>
        </w:rPr>
        <w:t>Darwinism, natural environment and administrative science</w:t>
      </w:r>
      <w:r>
        <w:rPr>
          <w:rFonts w:ascii="Arial" w:hAnsi="Arial" w:eastAsia="Arial"/>
          <w:b w:val="0"/>
          <w:i w:val="0"/>
          <w:color w:val="1F2933"/>
          <w:sz w:val="18"/>
        </w:rPr>
        <w:t xml:space="preserve">. Co-authored article, E3S Web of Conferences, 2024. </w:t>
      </w:r>
      <w:hyperlink r:id="rId16">
        <w:r>
          <w:rPr>
            <w:rFonts w:ascii="Arial" w:hAnsi="Arial"/>
            <w:color w:val="2E6F95"/>
            <w:sz w:val="18"/>
            <w:szCs w:val="18"/>
            <w:b/>
            <w:u w:val="none"/>
          </w:rPr>
          <w:t>DOI</w:t>
        </w:r>
      </w:hyperlink>
    </w:p>
    <w:p>
      <w:pPr>
        <w:pStyle w:val="ResumeBullet"/>
        <w:numPr>
          <w:ilvl w:val="0"/>
          <w:numId w:val="10"/>
        </w:numPr>
        <w:widowControl w:val="1"/>
      </w:pPr>
      <w:r>
        <w:rPr>
          <w:rFonts w:ascii="Arial" w:hAnsi="Arial" w:eastAsia="Arial"/>
          <w:b/>
          <w:i w:val="0"/>
          <w:color w:val="1F2933"/>
          <w:sz w:val="18"/>
        </w:rPr>
        <w:t>Organizational culture and product communication in wood companies</w:t>
      </w:r>
      <w:r>
        <w:rPr>
          <w:rFonts w:ascii="Arial" w:hAnsi="Arial" w:eastAsia="Arial"/>
          <w:b w:val="0"/>
          <w:i w:val="0"/>
          <w:color w:val="1F2933"/>
          <w:sz w:val="18"/>
        </w:rPr>
        <w:t xml:space="preserve">. Co-authored peer-reviewed chapter, Springer, 2024. </w:t>
      </w:r>
      <w:hyperlink r:id="rId17">
        <w:r>
          <w:rPr>
            <w:rFonts w:ascii="Arial" w:hAnsi="Arial"/>
            <w:color w:val="2E6F95"/>
            <w:sz w:val="18"/>
            <w:szCs w:val="18"/>
            <w:b/>
            <w:u w:val="none"/>
          </w:rPr>
          <w:t>DOI</w:t>
        </w:r>
      </w:hyperlink>
    </w:p>
    <w:p>
      <w:pPr>
        <w:pStyle w:val="ResumeSection"/>
        <w:keepNext/>
        <w:widowControl w:val="1"/>
        <w:pBdr>
          <w:bottom w:val="single" w:sz="4" w:space="2" w:color="D9E2EC"/>
        </w:pBdr>
      </w:pPr>
      <w:r>
        <w:rPr>
          <w:rFonts w:ascii="Arial" w:hAnsi="Arial" w:eastAsia="Arial"/>
          <w:b/>
          <w:color w:val="16324F"/>
          <w:sz w:val="21"/>
        </w:rPr>
        <w:t>SUBJECT-MATTER COVERAGE</w:t>
      </w:r>
    </w:p>
    <w:p>
      <w:pPr>
        <w:spacing w:after="40"/>
      </w:pPr>
      <w:r>
        <w:rPr>
          <w:rFonts w:ascii="Arial" w:hAnsi="Arial" w:eastAsia="Arial"/>
          <w:b/>
          <w:color w:val="16324F"/>
          <w:sz w:val="18"/>
        </w:rPr>
        <w:t xml:space="preserve">Business and people: </w:t>
      </w:r>
      <w:r>
        <w:rPr>
          <w:rFonts w:ascii="Arial" w:hAnsi="Arial" w:eastAsia="Arial"/>
          <w:color w:val="1F2933"/>
          <w:sz w:val="18"/>
        </w:rPr>
        <w:t>Recruitment | Workplace learning | Organizational behavior | Employee engagement, merit and fair pay | Digital marketing</w:t>
      </w:r>
    </w:p>
    <w:p>
      <w:pPr>
        <w:spacing w:after="40"/>
      </w:pPr>
      <w:r>
        <w:rPr>
          <w:rFonts w:ascii="Arial" w:hAnsi="Arial" w:eastAsia="Arial"/>
          <w:b/>
          <w:color w:val="16324F"/>
          <w:sz w:val="18"/>
        </w:rPr>
        <w:t xml:space="preserve">Technology and policy: </w:t>
      </w:r>
      <w:r>
        <w:rPr>
          <w:rFonts w:ascii="Arial" w:hAnsi="Arial" w:eastAsia="Arial"/>
          <w:color w:val="1F2933"/>
          <w:sz w:val="18"/>
        </w:rPr>
        <w:t>IT and telecommunications law and policy | AI-integrated learning content | EU taxation | Digital platforms</w:t>
      </w:r>
    </w:p>
    <w:p>
      <w:pPr>
        <w:spacing w:after="40"/>
      </w:pPr>
      <w:r>
        <w:rPr>
          <w:rFonts w:ascii="Arial" w:hAnsi="Arial" w:eastAsia="Arial"/>
          <w:b/>
          <w:color w:val="16324F"/>
          <w:sz w:val="18"/>
        </w:rPr>
        <w:t xml:space="preserve">Sustainability and industry: </w:t>
      </w:r>
      <w:r>
        <w:rPr>
          <w:rFonts w:ascii="Arial" w:hAnsi="Arial" w:eastAsia="Arial"/>
          <w:color w:val="1F2933"/>
          <w:sz w:val="18"/>
        </w:rPr>
        <w:t>Environmental learning | Biodiversity | Forestry and wood-sector organizations | Hospitality and tourism</w:t>
      </w:r>
    </w:p>
    <w:p>
      <w:pPr>
        <w:pStyle w:val="ResumeSection"/>
        <w:keepNext/>
        <w:widowControl w:val="1"/>
        <w:pBdr>
          <w:bottom w:val="single" w:sz="4" w:space="2" w:color="D9E2EC"/>
        </w:pBdr>
      </w:pPr>
      <w:r>
        <w:rPr>
          <w:rFonts w:ascii="Arial" w:hAnsi="Arial" w:eastAsia="Arial"/>
          <w:b/>
          <w:color w:val="16324F"/>
          <w:sz w:val="21"/>
        </w:rPr>
        <w:t>EDUCATION</w:t>
      </w:r>
    </w:p>
    <w:p>
      <w:pPr>
        <w:pStyle w:val="ResumeEducation"/>
        <w:widowControl w:val="1"/>
      </w:pPr>
      <w:r>
        <w:rPr>
          <w:rFonts w:ascii="Arial" w:hAnsi="Arial" w:eastAsia="Arial"/>
          <w:b/>
          <w:color w:val="1F2933"/>
          <w:sz w:val="18"/>
        </w:rPr>
        <w:t>PhD Candidate, Forestry, Wood Science and Design</w:t>
      </w:r>
      <w:r>
        <w:rPr>
          <w:rFonts w:ascii="Arial" w:hAnsi="Arial" w:eastAsia="Arial"/>
          <w:color w:val="1F2933"/>
          <w:sz w:val="18"/>
        </w:rPr>
        <w:t xml:space="preserve"> | University of Thessaly</w:t>
      </w:r>
      <w:r>
        <w:rPr>
          <w:rFonts w:ascii="Arial" w:hAnsi="Arial" w:eastAsia="Arial"/>
          <w:b/>
          <w:color w:val="5C6770"/>
          <w:sz w:val="17"/>
        </w:rPr>
        <w:br/>
        <w:t>2024 - Present</w:t>
      </w:r>
      <w:r>
        <w:rPr>
          <w:rFonts w:ascii="Arial" w:hAnsi="Arial" w:eastAsia="Arial"/>
          <w:i/>
          <w:color w:val="5C6770"/>
          <w:sz w:val="17"/>
        </w:rPr>
        <w:br/>
        <w:t>Research focus: environmental learning, adaptive knowledge transformation and organizational resilience.</w:t>
      </w:r>
    </w:p>
    <w:p>
      <w:pPr>
        <w:pStyle w:val="ResumeEducation"/>
        <w:widowControl w:val="1"/>
      </w:pPr>
      <w:r>
        <w:rPr>
          <w:rFonts w:ascii="Arial" w:hAnsi="Arial" w:eastAsia="Arial"/>
          <w:b/>
          <w:color w:val="1F2933"/>
          <w:sz w:val="18"/>
        </w:rPr>
        <w:t>M.A., Law and Policy of IT and Telecommunications</w:t>
      </w:r>
      <w:r>
        <w:rPr>
          <w:rFonts w:ascii="Arial" w:hAnsi="Arial" w:eastAsia="Arial"/>
          <w:color w:val="1F2933"/>
          <w:sz w:val="18"/>
        </w:rPr>
        <w:t xml:space="preserve"> | Aristotle University of Thessaloniki</w:t>
      </w:r>
      <w:r>
        <w:rPr>
          <w:rFonts w:ascii="Arial" w:hAnsi="Arial" w:eastAsia="Arial"/>
          <w:b/>
          <w:color w:val="5C6770"/>
          <w:sz w:val="17"/>
        </w:rPr>
        <w:br/>
        <w:t>2024 - 2026</w:t>
      </w:r>
    </w:p>
    <w:p>
      <w:pPr>
        <w:pStyle w:val="ResumeEducation"/>
        <w:widowControl w:val="1"/>
      </w:pPr>
      <w:r>
        <w:rPr>
          <w:rFonts w:ascii="Arial" w:hAnsi="Arial" w:eastAsia="Arial"/>
          <w:b/>
          <w:color w:val="1F2933"/>
          <w:sz w:val="18"/>
        </w:rPr>
        <w:t>M.A., Educational Management, Innovation and Entrepreneurship</w:t>
      </w:r>
      <w:r>
        <w:rPr>
          <w:rFonts w:ascii="Arial" w:hAnsi="Arial" w:eastAsia="Arial"/>
          <w:color w:val="1F2933"/>
          <w:sz w:val="18"/>
        </w:rPr>
        <w:t xml:space="preserve"> | Aristotle University of Thessaloniki</w:t>
      </w:r>
      <w:r>
        <w:rPr>
          <w:rFonts w:ascii="Arial" w:hAnsi="Arial" w:eastAsia="Arial"/>
          <w:b/>
          <w:color w:val="5C6770"/>
          <w:sz w:val="17"/>
        </w:rPr>
        <w:br/>
        <w:t>2022 - 2024</w:t>
      </w:r>
      <w:r>
        <w:rPr>
          <w:rFonts w:ascii="Arial" w:hAnsi="Arial" w:eastAsia="Arial"/>
          <w:i/>
          <w:color w:val="5C6770"/>
          <w:sz w:val="17"/>
        </w:rPr>
        <w:br/>
        <w:t>Grade: 9.5/10</w:t>
      </w:r>
    </w:p>
    <w:p>
      <w:pPr>
        <w:pStyle w:val="ResumeEducation"/>
        <w:widowControl w:val="1"/>
      </w:pPr>
      <w:r>
        <w:rPr>
          <w:rFonts w:ascii="Arial" w:hAnsi="Arial" w:eastAsia="Arial"/>
          <w:b/>
          <w:color w:val="1F2933"/>
          <w:sz w:val="18"/>
        </w:rPr>
        <w:t>B.A., Applied Linguistics and Intercultural Communication</w:t>
      </w:r>
      <w:r>
        <w:rPr>
          <w:rFonts w:ascii="Arial" w:hAnsi="Arial" w:eastAsia="Arial"/>
          <w:color w:val="1F2933"/>
          <w:sz w:val="18"/>
        </w:rPr>
        <w:t xml:space="preserve"> | University of Thessaly</w:t>
      </w:r>
      <w:r>
        <w:rPr>
          <w:rFonts w:ascii="Arial" w:hAnsi="Arial" w:eastAsia="Arial"/>
          <w:b/>
          <w:color w:val="5C6770"/>
          <w:sz w:val="17"/>
        </w:rPr>
        <w:br/>
        <w:t>2019 - 2023</w:t>
      </w:r>
    </w:p>
    <w:p>
      <w:pPr>
        <w:pStyle w:val="ResumeEducation"/>
        <w:widowControl w:val="1"/>
      </w:pPr>
      <w:r>
        <w:rPr>
          <w:rFonts w:ascii="Arial" w:hAnsi="Arial" w:eastAsia="Arial"/>
          <w:b/>
          <w:color w:val="1F2933"/>
          <w:sz w:val="18"/>
        </w:rPr>
        <w:t>B.A., Greek Philology - Classics</w:t>
      </w:r>
      <w:r>
        <w:rPr>
          <w:rFonts w:ascii="Arial" w:hAnsi="Arial" w:eastAsia="Arial"/>
          <w:color w:val="1F2933"/>
          <w:sz w:val="18"/>
        </w:rPr>
        <w:t xml:space="preserve"> | Aristotle University of Thessaloniki</w:t>
      </w:r>
      <w:r>
        <w:rPr>
          <w:rFonts w:ascii="Arial" w:hAnsi="Arial" w:eastAsia="Arial"/>
          <w:b/>
          <w:color w:val="5C6770"/>
          <w:sz w:val="17"/>
        </w:rPr>
        <w:br/>
        <w:t>2008 - 2014</w:t>
      </w:r>
    </w:p>
    <w:p>
      <w:pPr>
        <w:pStyle w:val="ResumeSection"/>
        <w:keepNext/>
        <w:widowControl w:val="1"/>
        <w:pBdr>
          <w:bottom w:val="single" w:sz="4" w:space="2" w:color="D9E2EC"/>
        </w:pBdr>
      </w:pPr>
      <w:r>
        <w:rPr>
          <w:rFonts w:ascii="Arial" w:hAnsi="Arial" w:eastAsia="Arial"/>
          <w:b/>
          <w:color w:val="16324F"/>
          <w:sz w:val="21"/>
        </w:rPr>
        <w:t>LANGUAGES, DIGITAL CAPABILITIES &amp; QUALIFICATIONS</w:t>
      </w:r>
    </w:p>
    <w:p>
      <w:pPr>
        <w:spacing w:after="50"/>
      </w:pPr>
      <w:r>
        <w:rPr>
          <w:rFonts w:ascii="Arial" w:hAnsi="Arial" w:eastAsia="Arial"/>
          <w:b/>
          <w:color w:val="16324F"/>
          <w:sz w:val="18"/>
        </w:rPr>
        <w:t xml:space="preserve">Languages: </w:t>
      </w:r>
      <w:r>
        <w:rPr>
          <w:rFonts w:ascii="Arial" w:hAnsi="Arial" w:eastAsia="Arial"/>
          <w:color w:val="1F2933"/>
          <w:sz w:val="18"/>
        </w:rPr>
        <w:t>Greek (native) | English (C2) | German (C1) | French (B2) | Russian (B2)</w:t>
      </w:r>
    </w:p>
    <w:p>
      <w:pPr>
        <w:spacing w:after="50"/>
      </w:pPr>
      <w:r>
        <w:rPr>
          <w:rFonts w:ascii="Arial" w:hAnsi="Arial" w:eastAsia="Arial"/>
          <w:b/>
          <w:color w:val="16324F"/>
          <w:sz w:val="18"/>
        </w:rPr>
        <w:t xml:space="preserve">Digital and research: </w:t>
      </w:r>
      <w:r>
        <w:rPr>
          <w:rFonts w:ascii="Arial" w:hAnsi="Arial" w:eastAsia="Arial"/>
          <w:color w:val="1F2933"/>
          <w:sz w:val="18"/>
        </w:rPr>
        <w:t>Digital learning-platform design | AI-integrated content development | Academic database research | Structured and bibliometric literature review | Survey and mixed-method research workflows</w:t>
      </w:r>
    </w:p>
    <w:p>
      <w:pPr>
        <w:spacing w:after="0"/>
      </w:pPr>
      <w:r>
        <w:rPr>
          <w:rFonts w:ascii="Arial" w:hAnsi="Arial" w:eastAsia="Arial"/>
          <w:b/>
          <w:color w:val="16324F"/>
          <w:sz w:val="18"/>
        </w:rPr>
        <w:t xml:space="preserve">Additional qualifications: </w:t>
      </w:r>
      <w:r>
        <w:rPr>
          <w:rFonts w:ascii="Arial" w:hAnsi="Arial" w:eastAsia="Arial"/>
          <w:color w:val="1F2933"/>
          <w:sz w:val="18"/>
        </w:rPr>
        <w:t>TEFL/TESOL certification | Russian B2 certification, Saratov State University | Erasmus Scholar, Free University of Berlin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749" w:right="893" w:bottom="720" w:left="893" w:header="360" w:footer="346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Arial" w:hAnsi="Arial" w:eastAsia="Arial"/>
        <w:color w:val="5C6770"/>
        <w:sz w:val="16"/>
      </w:rPr>
      <w:t xml:space="preserve">PAGE </w:t>
    </w:r>
    <w:r>
      <w:rPr>
        <w:rFonts w:ascii="Arial" w:hAnsi="Arial" w:eastAsia="Arial"/>
        <w:color w:val="5C6770"/>
        <w:sz w:val="16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Arial" w:hAnsi="Arial" w:eastAsia="Arial"/>
        <w:color w:val="5C6770"/>
        <w:sz w:val="16"/>
      </w:rPr>
      <w:t xml:space="preserve">PAGE </w:t>
    </w:r>
    <w:r>
      <w:rPr>
        <w:rFonts w:ascii="Arial" w:hAnsi="Arial" w:eastAsia="Arial"/>
        <w:color w:val="5C6770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/>
        <w:color w:val="5C6770"/>
        <w:sz w:val="15"/>
      </w:rPr>
      <w:t>MARIA K. TERMENTZOGLOU  |  B2B CONTENT WRITER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04"/>
        </w:tabs>
        <w:ind w:left="504" w:hanging="245"/>
      </w:pPr>
      <w:rPr>
        <w:rFonts w:ascii="Arial" w:hAnsi="Arial"/>
        <w:color w:val="2E6F95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50" w:line="252" w:lineRule="auto"/>
    </w:pPr>
    <w:rPr>
      <w:rFonts w:ascii="Arial" w:hAnsi="Arial"/>
      <w:color w:val="1F29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basedOn w:val="Normal"/>
    <w:pPr>
      <w:spacing w:before="140" w:after="60" w:line="240" w:lineRule="auto"/>
    </w:pPr>
    <w:rPr>
      <w:rFonts w:ascii="Arial" w:hAnsi="Arial"/>
      <w:b/>
      <w:color w:val="16324F"/>
      <w:sz w:val="21"/>
    </w:rPr>
  </w:style>
  <w:style w:type="paragraph" w:customStyle="1" w:styleId="ResumeJob">
    <w:name w:val="Resume Job"/>
    <w:basedOn w:val="Normal"/>
    <w:pPr>
      <w:spacing w:before="90" w:after="28" w:line="240" w:lineRule="auto"/>
    </w:pPr>
    <w:rPr>
      <w:rFonts w:ascii="Arial" w:hAnsi="Arial"/>
      <w:sz w:val="19"/>
    </w:rPr>
  </w:style>
  <w:style w:type="paragraph" w:customStyle="1" w:styleId="ResumeBullet">
    <w:name w:val="Resume Bullet"/>
    <w:basedOn w:val="Normal"/>
    <w:pPr>
      <w:spacing w:before="0" w:after="29" w:line="250" w:lineRule="auto"/>
      <w:ind w:left="504" w:hanging="245"/>
    </w:pPr>
    <w:rPr>
      <w:rFonts w:ascii="Arial" w:hAnsi="Arial"/>
      <w:sz w:val="18"/>
    </w:rPr>
  </w:style>
  <w:style w:type="paragraph" w:customStyle="1" w:styleId="ResumeEducation">
    <w:name w:val="Resume Education"/>
    <w:basedOn w:val="Normal"/>
    <w:pPr>
      <w:spacing w:before="0" w:after="50" w:line="245" w:lineRule="auto"/>
    </w:pPr>
    <w:rPr>
      <w:rFonts w:ascii="Arial" w:hAnsi="Arial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yperlink" Target="mailto:mariatermentzoglou@gmail.com" TargetMode="External"/><Relationship Id="rId14" Type="http://schemas.openxmlformats.org/officeDocument/2006/relationships/hyperlink" Target="https://www.linkedin.com/in/maria-k-termentzoglou/" TargetMode="External"/><Relationship Id="rId15" Type="http://schemas.openxmlformats.org/officeDocument/2006/relationships/hyperlink" Target="https://doi.org/10.1007/978-3-031-89718-4_17" TargetMode="External"/><Relationship Id="rId16" Type="http://schemas.openxmlformats.org/officeDocument/2006/relationships/hyperlink" Target="https://doi.org/10.1051/e3sconf/202458508002" TargetMode="External"/><Relationship Id="rId17" Type="http://schemas.openxmlformats.org/officeDocument/2006/relationships/hyperlink" Target="https://doi.org/10.1007/978-3-031-54342-5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Maria K. Termentzoglou - INFUSE B2B Content Writer Resume</dc:title>
  <dc:subject>Targeted resume for INFUSE B2B Content Writer (Remote, Contract)</dc:subject>
  <dc:creator>Maria K. Termentzoglou</dc:creator>
  <cp:keywords>B2B content writer, technical writer, long-form content, research, remote, INFUSE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